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F6D8" w14:textId="3DF3C101" w:rsidR="00764969" w:rsidRPr="002D70CA" w:rsidRDefault="002D70CA" w:rsidP="00764969">
      <w:pPr>
        <w:rPr>
          <w:rFonts w:asciiTheme="minorHAnsi" w:hAnsiTheme="minorHAnsi" w:cstheme="minorHAnsi"/>
          <w:b/>
        </w:rPr>
      </w:pPr>
      <w:r w:rsidRPr="002D70CA">
        <w:rPr>
          <w:rFonts w:asciiTheme="minorHAnsi" w:hAnsiTheme="minorHAnsi" w:cstheme="minorHAnsi"/>
          <w:b/>
        </w:rPr>
        <w:t>C</w:t>
      </w:r>
      <w:r w:rsidR="00764969" w:rsidRPr="002D70CA">
        <w:rPr>
          <w:rFonts w:asciiTheme="minorHAnsi" w:hAnsiTheme="minorHAnsi" w:cstheme="minorHAnsi"/>
          <w:b/>
        </w:rPr>
        <w:t>over note</w:t>
      </w:r>
      <w:r w:rsidRPr="002D70CA">
        <w:rPr>
          <w:rFonts w:asciiTheme="minorHAnsi" w:hAnsiTheme="minorHAnsi" w:cstheme="minorHAnsi"/>
          <w:b/>
        </w:rPr>
        <w:t xml:space="preserve"> to principals</w:t>
      </w:r>
      <w:r w:rsidR="00764969" w:rsidRPr="002D70CA">
        <w:rPr>
          <w:rFonts w:asciiTheme="minorHAnsi" w:hAnsiTheme="minorHAnsi" w:cstheme="minorHAnsi"/>
          <w:b/>
        </w:rPr>
        <w:t xml:space="preserve"> </w:t>
      </w:r>
      <w:r w:rsidR="00196A50">
        <w:rPr>
          <w:rFonts w:asciiTheme="minorHAnsi" w:hAnsiTheme="minorHAnsi" w:cstheme="minorHAnsi"/>
          <w:b/>
        </w:rPr>
        <w:t>(</w:t>
      </w:r>
      <w:r w:rsidR="00426057">
        <w:rPr>
          <w:rFonts w:asciiTheme="minorHAnsi" w:hAnsiTheme="minorHAnsi" w:cstheme="minorHAnsi"/>
          <w:b/>
        </w:rPr>
        <w:t>2023-24</w:t>
      </w:r>
      <w:r w:rsidR="00196A50">
        <w:rPr>
          <w:rFonts w:asciiTheme="minorHAnsi" w:hAnsiTheme="minorHAnsi" w:cstheme="minorHAnsi"/>
          <w:b/>
        </w:rPr>
        <w:t>)</w:t>
      </w:r>
    </w:p>
    <w:p w14:paraId="7C069D13" w14:textId="77777777" w:rsidR="00FE3318" w:rsidRPr="002D70CA" w:rsidRDefault="00FE3318" w:rsidP="00EC2E34">
      <w:pPr>
        <w:rPr>
          <w:rFonts w:asciiTheme="minorHAnsi" w:hAnsiTheme="minorHAnsi" w:cstheme="minorHAnsi"/>
        </w:rPr>
      </w:pPr>
    </w:p>
    <w:p w14:paraId="24C4E195" w14:textId="77777777" w:rsidR="00D903C6" w:rsidRPr="002D70CA" w:rsidRDefault="00D903C6" w:rsidP="00EC2E34">
      <w:pPr>
        <w:rPr>
          <w:rFonts w:asciiTheme="minorHAnsi" w:hAnsiTheme="minorHAnsi" w:cstheme="minorHAnsi"/>
        </w:rPr>
      </w:pPr>
    </w:p>
    <w:p w14:paraId="300ED863" w14:textId="77777777" w:rsidR="00EC2E34" w:rsidRPr="002D70CA" w:rsidRDefault="00EC2E34" w:rsidP="00EC2E34">
      <w:pPr>
        <w:rPr>
          <w:rFonts w:asciiTheme="minorHAnsi" w:hAnsiTheme="minorHAnsi" w:cstheme="minorHAnsi"/>
        </w:rPr>
      </w:pPr>
      <w:r w:rsidRPr="002D70CA">
        <w:rPr>
          <w:rFonts w:asciiTheme="minorHAnsi" w:hAnsiTheme="minorHAnsi" w:cstheme="minorHAnsi"/>
        </w:rPr>
        <w:t xml:space="preserve">Dear School Principal, </w:t>
      </w:r>
    </w:p>
    <w:p w14:paraId="44901DD7" w14:textId="77777777" w:rsidR="00EC2E34" w:rsidRPr="002D70CA" w:rsidRDefault="00EC2E34" w:rsidP="00EC2E34">
      <w:pPr>
        <w:rPr>
          <w:rFonts w:asciiTheme="minorHAnsi" w:hAnsiTheme="minorHAnsi" w:cstheme="minorHAnsi"/>
        </w:rPr>
      </w:pPr>
    </w:p>
    <w:p w14:paraId="67D58CB5" w14:textId="4457F5A0" w:rsidR="00722DDF" w:rsidRPr="002D70CA" w:rsidRDefault="00722DDF" w:rsidP="00722DDF">
      <w:pPr>
        <w:pStyle w:val="NormalWeb"/>
        <w:spacing w:before="0" w:beforeAutospacing="0" w:after="0" w:afterAutospacing="0"/>
        <w:rPr>
          <w:rFonts w:asciiTheme="minorHAnsi" w:hAnsiTheme="minorHAnsi" w:cstheme="minorHAnsi"/>
        </w:rPr>
      </w:pPr>
      <w:r w:rsidRPr="002D70CA">
        <w:rPr>
          <w:rFonts w:asciiTheme="minorHAnsi" w:hAnsiTheme="minorHAnsi" w:cstheme="minorHAnsi"/>
          <w:color w:val="000000"/>
        </w:rPr>
        <w:t>Copyright rules for educators have changed significantly in recent years. While teachers have new opportunities to use copyright-protected materials in their lessons, they also have responsibilities. There are limits to what can be copied and communicated in the classroom. Teachers must know what they can and cannot do with the copyright-protected works of others. Failure to comply with copyright law can result in a teacher, school, or school board being sued for copyright infringement.</w:t>
      </w:r>
      <w:r w:rsidR="0061470E" w:rsidRPr="002D70CA">
        <w:rPr>
          <w:rFonts w:asciiTheme="minorHAnsi" w:hAnsiTheme="minorHAnsi" w:cstheme="minorHAnsi"/>
        </w:rPr>
        <w:t xml:space="preserve"> The fair dealing provision in Canada’s copyright</w:t>
      </w:r>
      <w:r w:rsidR="00E16EB6">
        <w:rPr>
          <w:rFonts w:asciiTheme="minorHAnsi" w:hAnsiTheme="minorHAnsi" w:cstheme="minorHAnsi"/>
        </w:rPr>
        <w:t xml:space="preserve"> law</w:t>
      </w:r>
      <w:r w:rsidR="0061470E" w:rsidRPr="002D70CA">
        <w:rPr>
          <w:rFonts w:asciiTheme="minorHAnsi" w:hAnsiTheme="minorHAnsi" w:cstheme="minorHAnsi"/>
        </w:rPr>
        <w:t xml:space="preserve"> permits teachers to copy and communicate short excerpts from copyright-protected works provided the dealing is “fair.”</w:t>
      </w:r>
    </w:p>
    <w:p w14:paraId="0683E029" w14:textId="77777777" w:rsidR="00722DDF" w:rsidRPr="002D70CA" w:rsidRDefault="00722DDF" w:rsidP="00722DDF">
      <w:pPr>
        <w:rPr>
          <w:rFonts w:asciiTheme="minorHAnsi" w:hAnsiTheme="minorHAnsi" w:cstheme="minorHAnsi"/>
        </w:rPr>
      </w:pPr>
    </w:p>
    <w:p w14:paraId="5938CBCD" w14:textId="670D5223" w:rsidR="00722DDF" w:rsidRPr="002D70CA" w:rsidRDefault="00E03747" w:rsidP="004F2259">
      <w:pPr>
        <w:rPr>
          <w:rFonts w:asciiTheme="minorHAnsi" w:hAnsiTheme="minorHAnsi" w:cstheme="minorHAnsi"/>
          <w:color w:val="000000"/>
        </w:rPr>
      </w:pPr>
      <w:r w:rsidRPr="002D70CA">
        <w:rPr>
          <w:rFonts w:asciiTheme="minorHAnsi" w:hAnsiTheme="minorHAnsi" w:cstheme="minorHAnsi"/>
          <w:lang w:val="en-CA"/>
        </w:rPr>
        <w:t xml:space="preserve">Ministries/departments of education across Canada with responsibility for elementary-secondary education </w:t>
      </w:r>
      <w:r w:rsidR="00E16EB6">
        <w:rPr>
          <w:rFonts w:asciiTheme="minorHAnsi" w:hAnsiTheme="minorHAnsi" w:cstheme="minorHAnsi"/>
          <w:lang w:val="en-CA"/>
        </w:rPr>
        <w:t>(</w:t>
      </w:r>
      <w:r w:rsidRPr="002D70CA">
        <w:rPr>
          <w:rFonts w:asciiTheme="minorHAnsi" w:hAnsiTheme="minorHAnsi" w:cstheme="minorHAnsi"/>
          <w:lang w:val="en-CA"/>
        </w:rPr>
        <w:t>with the exception of Quebec</w:t>
      </w:r>
      <w:r w:rsidR="00E16EB6">
        <w:rPr>
          <w:rFonts w:asciiTheme="minorHAnsi" w:hAnsiTheme="minorHAnsi" w:cstheme="minorHAnsi"/>
          <w:lang w:val="en-CA"/>
        </w:rPr>
        <w:t>)</w:t>
      </w:r>
      <w:r w:rsidR="000160DF" w:rsidRPr="002D70CA">
        <w:rPr>
          <w:rFonts w:asciiTheme="minorHAnsi" w:hAnsiTheme="minorHAnsi" w:cstheme="minorHAnsi"/>
        </w:rPr>
        <w:t xml:space="preserve"> strive to ensure </w:t>
      </w:r>
      <w:r w:rsidR="001E394F" w:rsidRPr="002D70CA">
        <w:rPr>
          <w:rFonts w:asciiTheme="minorHAnsi" w:hAnsiTheme="minorHAnsi" w:cstheme="minorHAnsi"/>
        </w:rPr>
        <w:t xml:space="preserve">that </w:t>
      </w:r>
      <w:r w:rsidR="008B6D3B" w:rsidRPr="002D70CA">
        <w:rPr>
          <w:rFonts w:asciiTheme="minorHAnsi" w:hAnsiTheme="minorHAnsi" w:cstheme="minorHAnsi"/>
        </w:rPr>
        <w:t>teachers</w:t>
      </w:r>
      <w:r w:rsidR="00186B0C" w:rsidRPr="002D70CA">
        <w:rPr>
          <w:rFonts w:asciiTheme="minorHAnsi" w:hAnsiTheme="minorHAnsi" w:cstheme="minorHAnsi"/>
        </w:rPr>
        <w:t xml:space="preserve"> have the latest information about </w:t>
      </w:r>
      <w:r w:rsidR="004B659F" w:rsidRPr="002D70CA">
        <w:rPr>
          <w:rFonts w:asciiTheme="minorHAnsi" w:hAnsiTheme="minorHAnsi" w:cstheme="minorHAnsi"/>
        </w:rPr>
        <w:t>fair dealing</w:t>
      </w:r>
      <w:r w:rsidR="00186B0C" w:rsidRPr="002D70CA">
        <w:rPr>
          <w:rFonts w:asciiTheme="minorHAnsi" w:hAnsiTheme="minorHAnsi" w:cstheme="minorHAnsi"/>
        </w:rPr>
        <w:t>. T</w:t>
      </w:r>
      <w:r w:rsidR="00EC2E34" w:rsidRPr="002D70CA">
        <w:rPr>
          <w:rFonts w:asciiTheme="minorHAnsi" w:hAnsiTheme="minorHAnsi" w:cstheme="minorHAnsi"/>
          <w:color w:val="000000"/>
        </w:rPr>
        <w:t xml:space="preserve">he Copyright Consortium of the Council of Ministers of Education, Canada has developed </w:t>
      </w:r>
      <w:r w:rsidR="00722DDF" w:rsidRPr="002D70CA">
        <w:rPr>
          <w:rFonts w:asciiTheme="minorHAnsi" w:hAnsiTheme="minorHAnsi" w:cstheme="minorHAnsi"/>
          <w:color w:val="000000"/>
        </w:rPr>
        <w:t xml:space="preserve">a </w:t>
      </w:r>
      <w:r w:rsidR="008A1F89">
        <w:rPr>
          <w:rFonts w:asciiTheme="minorHAnsi" w:hAnsiTheme="minorHAnsi" w:cstheme="minorHAnsi"/>
          <w:color w:val="000000"/>
        </w:rPr>
        <w:t>w</w:t>
      </w:r>
      <w:r w:rsidR="000D5AAD">
        <w:rPr>
          <w:rFonts w:asciiTheme="minorHAnsi" w:hAnsiTheme="minorHAnsi" w:cstheme="minorHAnsi"/>
          <w:color w:val="000000"/>
        </w:rPr>
        <w:t>ebsite</w:t>
      </w:r>
      <w:r w:rsidR="00722DDF" w:rsidRPr="002D70CA">
        <w:rPr>
          <w:rFonts w:asciiTheme="minorHAnsi" w:hAnsiTheme="minorHAnsi" w:cstheme="minorHAnsi"/>
          <w:color w:val="000000"/>
        </w:rPr>
        <w:t xml:space="preserve"> to assist teachers in complying with the copyright law</w:t>
      </w:r>
      <w:r w:rsidR="00E16EB6">
        <w:rPr>
          <w:rFonts w:asciiTheme="minorHAnsi" w:hAnsiTheme="minorHAnsi" w:cstheme="minorHAnsi"/>
          <w:color w:val="000000"/>
        </w:rPr>
        <w:t>:</w:t>
      </w:r>
      <w:r w:rsidR="00722DDF" w:rsidRPr="002D70CA">
        <w:rPr>
          <w:rFonts w:asciiTheme="minorHAnsi" w:hAnsiTheme="minorHAnsi" w:cstheme="minorHAnsi"/>
          <w:color w:val="000000"/>
        </w:rPr>
        <w:t xml:space="preserve"> </w:t>
      </w:r>
      <w:hyperlink r:id="rId8" w:history="1">
        <w:r w:rsidR="00722DDF" w:rsidRPr="002D70CA">
          <w:rPr>
            <w:rStyle w:val="Hyperlink"/>
            <w:rFonts w:asciiTheme="minorHAnsi" w:hAnsiTheme="minorHAnsi" w:cstheme="minorHAnsi"/>
            <w:b/>
          </w:rPr>
          <w:t>www.fairdealingdecisiontool.ca</w:t>
        </w:r>
      </w:hyperlink>
      <w:r w:rsidR="00722DDF" w:rsidRPr="002D70CA">
        <w:rPr>
          <w:rFonts w:asciiTheme="minorHAnsi" w:hAnsiTheme="minorHAnsi" w:cstheme="minorHAnsi"/>
          <w:color w:val="000000"/>
        </w:rPr>
        <w:t xml:space="preserve">. This </w:t>
      </w:r>
      <w:r w:rsidR="008A1F89">
        <w:rPr>
          <w:rFonts w:asciiTheme="minorHAnsi" w:hAnsiTheme="minorHAnsi" w:cstheme="minorHAnsi"/>
          <w:color w:val="000000"/>
        </w:rPr>
        <w:t>w</w:t>
      </w:r>
      <w:r w:rsidR="000D5AAD">
        <w:rPr>
          <w:rFonts w:asciiTheme="minorHAnsi" w:hAnsiTheme="minorHAnsi" w:cstheme="minorHAnsi"/>
          <w:color w:val="000000"/>
        </w:rPr>
        <w:t>ebsite</w:t>
      </w:r>
      <w:r w:rsidR="00722DDF" w:rsidRPr="002D70CA">
        <w:rPr>
          <w:rFonts w:asciiTheme="minorHAnsi" w:hAnsiTheme="minorHAnsi" w:cstheme="minorHAnsi"/>
          <w:color w:val="000000"/>
        </w:rPr>
        <w:t xml:space="preserve"> features a fair dealing decision tool that </w:t>
      </w:r>
      <w:r w:rsidR="00E16EB6">
        <w:rPr>
          <w:rFonts w:asciiTheme="minorHAnsi" w:hAnsiTheme="minorHAnsi" w:cstheme="minorHAnsi"/>
          <w:color w:val="000000"/>
        </w:rPr>
        <w:t>enables</w:t>
      </w:r>
      <w:r w:rsidR="00E16EB6" w:rsidRPr="002D70CA">
        <w:rPr>
          <w:rFonts w:asciiTheme="minorHAnsi" w:hAnsiTheme="minorHAnsi" w:cstheme="minorHAnsi"/>
          <w:color w:val="000000"/>
        </w:rPr>
        <w:t xml:space="preserve"> </w:t>
      </w:r>
      <w:r w:rsidR="00722DDF" w:rsidRPr="002D70CA">
        <w:rPr>
          <w:rFonts w:asciiTheme="minorHAnsi" w:hAnsiTheme="minorHAnsi" w:cstheme="minorHAnsi"/>
          <w:color w:val="000000"/>
        </w:rPr>
        <w:t xml:space="preserve">teachers to quickly determine whether they can use specific materials in their lessons. This </w:t>
      </w:r>
      <w:r w:rsidR="008A1F89">
        <w:rPr>
          <w:rFonts w:asciiTheme="minorHAnsi" w:hAnsiTheme="minorHAnsi" w:cstheme="minorHAnsi"/>
          <w:color w:val="000000"/>
        </w:rPr>
        <w:t>w</w:t>
      </w:r>
      <w:r w:rsidR="000D5AAD">
        <w:rPr>
          <w:rFonts w:asciiTheme="minorHAnsi" w:hAnsiTheme="minorHAnsi" w:cstheme="minorHAnsi"/>
          <w:color w:val="000000"/>
        </w:rPr>
        <w:t>ebsite</w:t>
      </w:r>
      <w:r w:rsidR="00722DDF" w:rsidRPr="002D70CA">
        <w:rPr>
          <w:rFonts w:asciiTheme="minorHAnsi" w:hAnsiTheme="minorHAnsi" w:cstheme="minorHAnsi"/>
          <w:color w:val="000000"/>
        </w:rPr>
        <w:t xml:space="preserve"> also provides an overview of the </w:t>
      </w:r>
      <w:r w:rsidR="00722DDF" w:rsidRPr="002D70CA">
        <w:rPr>
          <w:rFonts w:asciiTheme="minorHAnsi" w:hAnsiTheme="minorHAnsi" w:cstheme="minorHAnsi"/>
          <w:i/>
          <w:color w:val="000000"/>
        </w:rPr>
        <w:t>Fair Dealing Guidelines</w:t>
      </w:r>
      <w:r w:rsidR="00E16EB6">
        <w:rPr>
          <w:rFonts w:asciiTheme="minorHAnsi" w:hAnsiTheme="minorHAnsi" w:cstheme="minorHAnsi"/>
          <w:color w:val="000000"/>
        </w:rPr>
        <w:t>,</w:t>
      </w:r>
      <w:r w:rsidR="00722DDF" w:rsidRPr="002D70CA">
        <w:rPr>
          <w:rFonts w:asciiTheme="minorHAnsi" w:hAnsiTheme="minorHAnsi" w:cstheme="minorHAnsi"/>
          <w:color w:val="000000"/>
        </w:rPr>
        <w:t xml:space="preserve"> </w:t>
      </w:r>
      <w:r w:rsidR="0061470E" w:rsidRPr="002D70CA">
        <w:rPr>
          <w:rFonts w:asciiTheme="minorHAnsi" w:hAnsiTheme="minorHAnsi" w:cstheme="minorHAnsi"/>
          <w:color w:val="000000"/>
        </w:rPr>
        <w:t xml:space="preserve">along with </w:t>
      </w:r>
      <w:r w:rsidR="00722DDF" w:rsidRPr="002D70CA">
        <w:rPr>
          <w:rFonts w:asciiTheme="minorHAnsi" w:hAnsiTheme="minorHAnsi" w:cstheme="minorHAnsi"/>
          <w:color w:val="000000"/>
        </w:rPr>
        <w:t xml:space="preserve">posters to remind teachers about the guidelines as well as the restrictions on copying consumables, </w:t>
      </w:r>
      <w:r w:rsidR="00F14E63" w:rsidRPr="002D70CA">
        <w:rPr>
          <w:rFonts w:asciiTheme="minorHAnsi" w:hAnsiTheme="minorHAnsi" w:cstheme="minorHAnsi"/>
          <w:color w:val="000000"/>
        </w:rPr>
        <w:t>such as</w:t>
      </w:r>
      <w:r w:rsidR="00722DDF" w:rsidRPr="002D70CA">
        <w:rPr>
          <w:rFonts w:asciiTheme="minorHAnsi" w:hAnsiTheme="minorHAnsi" w:cstheme="minorHAnsi"/>
          <w:color w:val="000000"/>
        </w:rPr>
        <w:t xml:space="preserve"> workbooks and materials meant for one-time use.  </w:t>
      </w:r>
    </w:p>
    <w:p w14:paraId="72EF5428" w14:textId="77777777" w:rsidR="00722DDF" w:rsidRPr="002D70CA" w:rsidRDefault="00722DDF" w:rsidP="0016419B">
      <w:pPr>
        <w:rPr>
          <w:rFonts w:asciiTheme="minorHAnsi" w:hAnsiTheme="minorHAnsi" w:cstheme="minorHAnsi"/>
          <w:color w:val="000000"/>
        </w:rPr>
      </w:pPr>
      <w:r w:rsidRPr="002D70CA">
        <w:rPr>
          <w:rFonts w:asciiTheme="minorHAnsi" w:hAnsiTheme="minorHAnsi" w:cstheme="minorHAnsi"/>
          <w:color w:val="000000"/>
        </w:rPr>
        <w:t xml:space="preserve"> </w:t>
      </w:r>
    </w:p>
    <w:p w14:paraId="7E6BB33E" w14:textId="69C36BD2" w:rsidR="00F14E63" w:rsidRPr="002D70CA" w:rsidRDefault="00F14E63" w:rsidP="00EC2E34">
      <w:pPr>
        <w:rPr>
          <w:rFonts w:asciiTheme="minorHAnsi" w:hAnsiTheme="minorHAnsi" w:cstheme="minorHAnsi"/>
        </w:rPr>
      </w:pPr>
      <w:r w:rsidRPr="002D70CA">
        <w:rPr>
          <w:rFonts w:asciiTheme="minorHAnsi" w:hAnsiTheme="minorHAnsi" w:cstheme="minorHAnsi"/>
        </w:rPr>
        <w:t>Principal</w:t>
      </w:r>
      <w:r w:rsidR="004F2259" w:rsidRPr="002D70CA">
        <w:rPr>
          <w:rFonts w:asciiTheme="minorHAnsi" w:hAnsiTheme="minorHAnsi" w:cstheme="minorHAnsi"/>
        </w:rPr>
        <w:t>s</w:t>
      </w:r>
      <w:r w:rsidRPr="002D70CA">
        <w:rPr>
          <w:rFonts w:asciiTheme="minorHAnsi" w:hAnsiTheme="minorHAnsi" w:cstheme="minorHAnsi"/>
        </w:rPr>
        <w:t xml:space="preserve"> are asked to: </w:t>
      </w:r>
    </w:p>
    <w:p w14:paraId="7419CAE1" w14:textId="777DCB55" w:rsidR="0014728C" w:rsidRPr="002D70CA" w:rsidRDefault="00EC2E34" w:rsidP="00F14E63">
      <w:pPr>
        <w:pStyle w:val="ListParagraph"/>
        <w:numPr>
          <w:ilvl w:val="0"/>
          <w:numId w:val="3"/>
        </w:numPr>
        <w:rPr>
          <w:rFonts w:asciiTheme="minorHAnsi" w:hAnsiTheme="minorHAnsi" w:cstheme="minorHAnsi"/>
        </w:rPr>
      </w:pPr>
      <w:r w:rsidRPr="002D70CA">
        <w:rPr>
          <w:rFonts w:asciiTheme="minorHAnsi" w:hAnsiTheme="minorHAnsi" w:cstheme="minorHAnsi"/>
        </w:rPr>
        <w:t xml:space="preserve">mention this </w:t>
      </w:r>
      <w:r w:rsidR="008A1F89">
        <w:rPr>
          <w:rFonts w:asciiTheme="minorHAnsi" w:hAnsiTheme="minorHAnsi" w:cstheme="minorHAnsi"/>
        </w:rPr>
        <w:t>w</w:t>
      </w:r>
      <w:r w:rsidR="000D5AAD">
        <w:rPr>
          <w:rFonts w:asciiTheme="minorHAnsi" w:hAnsiTheme="minorHAnsi" w:cstheme="minorHAnsi"/>
        </w:rPr>
        <w:t>ebsite</w:t>
      </w:r>
      <w:r w:rsidRPr="002D70CA">
        <w:rPr>
          <w:rFonts w:asciiTheme="minorHAnsi" w:hAnsiTheme="minorHAnsi" w:cstheme="minorHAnsi"/>
        </w:rPr>
        <w:t xml:space="preserve"> </w:t>
      </w:r>
      <w:r w:rsidR="001E394F" w:rsidRPr="002D70CA">
        <w:rPr>
          <w:rFonts w:asciiTheme="minorHAnsi" w:hAnsiTheme="minorHAnsi" w:cstheme="minorHAnsi"/>
        </w:rPr>
        <w:t>at</w:t>
      </w:r>
      <w:r w:rsidR="0014728C" w:rsidRPr="002D70CA">
        <w:rPr>
          <w:rFonts w:asciiTheme="minorHAnsi" w:hAnsiTheme="minorHAnsi" w:cstheme="minorHAnsi"/>
        </w:rPr>
        <w:t xml:space="preserve"> a </w:t>
      </w:r>
      <w:r w:rsidRPr="002D70CA">
        <w:rPr>
          <w:rFonts w:asciiTheme="minorHAnsi" w:hAnsiTheme="minorHAnsi" w:cstheme="minorHAnsi"/>
        </w:rPr>
        <w:t xml:space="preserve">staff meeting and </w:t>
      </w:r>
      <w:r w:rsidR="0014728C" w:rsidRPr="002D70CA">
        <w:rPr>
          <w:rFonts w:asciiTheme="minorHAnsi" w:hAnsiTheme="minorHAnsi" w:cstheme="minorHAnsi"/>
        </w:rPr>
        <w:t xml:space="preserve">to </w:t>
      </w:r>
      <w:r w:rsidRPr="002D70CA">
        <w:rPr>
          <w:rFonts w:asciiTheme="minorHAnsi" w:hAnsiTheme="minorHAnsi" w:cstheme="minorHAnsi"/>
        </w:rPr>
        <w:t xml:space="preserve">encourage all teachers to visit the site and view the related materials. </w:t>
      </w:r>
    </w:p>
    <w:p w14:paraId="521CC227" w14:textId="456F0CA8" w:rsidR="00B7478D" w:rsidRPr="002D70CA" w:rsidRDefault="00B7478D" w:rsidP="00EC2E34">
      <w:pPr>
        <w:pStyle w:val="ListParagraph"/>
        <w:numPr>
          <w:ilvl w:val="0"/>
          <w:numId w:val="3"/>
        </w:numPr>
        <w:rPr>
          <w:rFonts w:asciiTheme="minorHAnsi" w:hAnsiTheme="minorHAnsi" w:cstheme="minorHAnsi"/>
        </w:rPr>
      </w:pPr>
      <w:r w:rsidRPr="002D70CA">
        <w:rPr>
          <w:rFonts w:asciiTheme="minorHAnsi" w:hAnsiTheme="minorHAnsi" w:cstheme="minorHAnsi"/>
        </w:rPr>
        <w:t>ensure both the</w:t>
      </w:r>
      <w:r w:rsidR="004F2259" w:rsidRPr="002D70CA">
        <w:rPr>
          <w:rFonts w:asciiTheme="minorHAnsi" w:hAnsiTheme="minorHAnsi" w:cstheme="minorHAnsi"/>
        </w:rPr>
        <w:t xml:space="preserve"> attached </w:t>
      </w:r>
      <w:r w:rsidRPr="002D70CA">
        <w:rPr>
          <w:rFonts w:asciiTheme="minorHAnsi" w:hAnsiTheme="minorHAnsi" w:cstheme="minorHAnsi"/>
          <w:i/>
        </w:rPr>
        <w:t>Fair Dealing Guidelines</w:t>
      </w:r>
      <w:r w:rsidRPr="002D70CA">
        <w:rPr>
          <w:rFonts w:asciiTheme="minorHAnsi" w:hAnsiTheme="minorHAnsi" w:cstheme="minorHAnsi"/>
        </w:rPr>
        <w:t xml:space="preserve"> and </w:t>
      </w:r>
      <w:r w:rsidRPr="00727DCF">
        <w:rPr>
          <w:rFonts w:asciiTheme="minorHAnsi" w:hAnsiTheme="minorHAnsi" w:cstheme="minorHAnsi"/>
        </w:rPr>
        <w:t>Consumables</w:t>
      </w:r>
      <w:r w:rsidR="002D70CA">
        <w:rPr>
          <w:rFonts w:asciiTheme="minorHAnsi" w:hAnsiTheme="minorHAnsi" w:cstheme="minorHAnsi"/>
        </w:rPr>
        <w:t xml:space="preserve"> posters are plac</w:t>
      </w:r>
      <w:r w:rsidRPr="002D70CA">
        <w:rPr>
          <w:rFonts w:asciiTheme="minorHAnsi" w:hAnsiTheme="minorHAnsi" w:cstheme="minorHAnsi"/>
        </w:rPr>
        <w:t xml:space="preserve">ed near photocopiers and printers. </w:t>
      </w:r>
    </w:p>
    <w:p w14:paraId="798910EC" w14:textId="77777777" w:rsidR="002D70CA" w:rsidRPr="002D70CA" w:rsidRDefault="002D70CA" w:rsidP="002D70CA">
      <w:pPr>
        <w:pStyle w:val="ListParagraph"/>
        <w:numPr>
          <w:ilvl w:val="0"/>
          <w:numId w:val="3"/>
        </w:numPr>
        <w:rPr>
          <w:rFonts w:asciiTheme="minorHAnsi" w:hAnsiTheme="minorHAnsi" w:cstheme="minorHAnsi"/>
        </w:rPr>
      </w:pPr>
      <w:r w:rsidRPr="002D70CA">
        <w:rPr>
          <w:rFonts w:asciiTheme="minorHAnsi" w:hAnsiTheme="minorHAnsi" w:cstheme="minorHAnsi"/>
        </w:rPr>
        <w:t xml:space="preserve">post the attached notice regarding available copyright reference resources in the staff room and/or main office. </w:t>
      </w:r>
    </w:p>
    <w:p w14:paraId="7CD65B58" w14:textId="77777777" w:rsidR="0065269E" w:rsidRPr="002D70CA" w:rsidRDefault="0065269E" w:rsidP="00EC2E34">
      <w:pPr>
        <w:rPr>
          <w:rFonts w:asciiTheme="minorHAnsi" w:hAnsiTheme="minorHAnsi" w:cstheme="minorHAnsi"/>
          <w:u w:val="single"/>
        </w:rPr>
      </w:pPr>
    </w:p>
    <w:p w14:paraId="3D2D4C1A" w14:textId="2820B966" w:rsidR="004F2259" w:rsidRPr="002D70CA" w:rsidRDefault="004F2259" w:rsidP="004F2259">
      <w:pPr>
        <w:rPr>
          <w:rFonts w:asciiTheme="minorHAnsi" w:hAnsiTheme="minorHAnsi" w:cstheme="minorHAnsi"/>
        </w:rPr>
      </w:pPr>
      <w:r w:rsidRPr="002D70CA">
        <w:rPr>
          <w:rFonts w:asciiTheme="minorHAnsi" w:hAnsiTheme="minorHAnsi" w:cstheme="minorHAnsi"/>
        </w:rPr>
        <w:t xml:space="preserve">Attached to this message are the following materials </w:t>
      </w:r>
      <w:r w:rsidR="008B6D3B" w:rsidRPr="002D70CA">
        <w:rPr>
          <w:rFonts w:asciiTheme="minorHAnsi" w:hAnsiTheme="minorHAnsi" w:cstheme="minorHAnsi"/>
        </w:rPr>
        <w:t>that</w:t>
      </w:r>
      <w:r w:rsidRPr="002D70CA">
        <w:rPr>
          <w:rFonts w:asciiTheme="minorHAnsi" w:hAnsiTheme="minorHAnsi" w:cstheme="minorHAnsi"/>
        </w:rPr>
        <w:t xml:space="preserve"> will assist you in meeting the suggested actions described above. </w:t>
      </w:r>
    </w:p>
    <w:p w14:paraId="6134EB75" w14:textId="77777777" w:rsidR="004F2259" w:rsidRPr="002D70CA" w:rsidRDefault="004F2259" w:rsidP="004F2259">
      <w:pPr>
        <w:rPr>
          <w:rFonts w:asciiTheme="minorHAnsi" w:hAnsiTheme="minorHAnsi" w:cstheme="minorHAnsi"/>
        </w:rPr>
      </w:pPr>
    </w:p>
    <w:p w14:paraId="53B4D459" w14:textId="77777777" w:rsidR="008F24C0" w:rsidRPr="002D70CA" w:rsidRDefault="008F24C0" w:rsidP="008F24C0">
      <w:pPr>
        <w:pStyle w:val="ListParagraph"/>
        <w:numPr>
          <w:ilvl w:val="0"/>
          <w:numId w:val="4"/>
        </w:numPr>
        <w:rPr>
          <w:rFonts w:asciiTheme="minorHAnsi" w:hAnsiTheme="minorHAnsi" w:cstheme="minorHAnsi"/>
          <w:u w:val="single"/>
        </w:rPr>
      </w:pPr>
      <w:r w:rsidRPr="002D70CA">
        <w:rPr>
          <w:rFonts w:asciiTheme="minorHAnsi" w:hAnsiTheme="minorHAnsi" w:cstheme="minorHAnsi"/>
        </w:rPr>
        <w:t>A template e</w:t>
      </w:r>
      <w:r>
        <w:rPr>
          <w:rFonts w:asciiTheme="minorHAnsi" w:hAnsiTheme="minorHAnsi" w:cstheme="minorHAnsi"/>
        </w:rPr>
        <w:t>-</w:t>
      </w:r>
      <w:r w:rsidRPr="002D70CA">
        <w:rPr>
          <w:rFonts w:asciiTheme="minorHAnsi" w:hAnsiTheme="minorHAnsi" w:cstheme="minorHAnsi"/>
        </w:rPr>
        <w:t xml:space="preserve">mail message to </w:t>
      </w:r>
      <w:r>
        <w:rPr>
          <w:rFonts w:asciiTheme="minorHAnsi" w:hAnsiTheme="minorHAnsi" w:cstheme="minorHAnsi"/>
        </w:rPr>
        <w:t xml:space="preserve">be </w:t>
      </w:r>
      <w:r w:rsidRPr="002D70CA">
        <w:rPr>
          <w:rFonts w:asciiTheme="minorHAnsi" w:hAnsiTheme="minorHAnsi" w:cstheme="minorHAnsi"/>
        </w:rPr>
        <w:t>forward</w:t>
      </w:r>
      <w:r>
        <w:rPr>
          <w:rFonts w:asciiTheme="minorHAnsi" w:hAnsiTheme="minorHAnsi" w:cstheme="minorHAnsi"/>
        </w:rPr>
        <w:t>ed</w:t>
      </w:r>
      <w:r w:rsidRPr="002D70CA">
        <w:rPr>
          <w:rFonts w:asciiTheme="minorHAnsi" w:hAnsiTheme="minorHAnsi" w:cstheme="minorHAnsi"/>
        </w:rPr>
        <w:t xml:space="preserve"> to teachers  </w:t>
      </w:r>
    </w:p>
    <w:p w14:paraId="0DCD5644" w14:textId="01C81A8B" w:rsidR="004F2259" w:rsidRPr="002D70CA" w:rsidRDefault="004F2259" w:rsidP="004F2259">
      <w:pPr>
        <w:pStyle w:val="ListParagraph"/>
        <w:numPr>
          <w:ilvl w:val="0"/>
          <w:numId w:val="4"/>
        </w:numPr>
        <w:rPr>
          <w:rFonts w:asciiTheme="minorHAnsi" w:hAnsiTheme="minorHAnsi" w:cstheme="minorHAnsi"/>
          <w:u w:val="single"/>
        </w:rPr>
      </w:pPr>
      <w:r w:rsidRPr="002D70CA">
        <w:rPr>
          <w:rFonts w:asciiTheme="minorHAnsi" w:hAnsiTheme="minorHAnsi" w:cstheme="minorHAnsi"/>
        </w:rPr>
        <w:t xml:space="preserve">Suggested speaking points for the copyright presentation to staff (for </w:t>
      </w:r>
      <w:r w:rsidR="002D70CA">
        <w:rPr>
          <w:rFonts w:asciiTheme="minorHAnsi" w:hAnsiTheme="minorHAnsi" w:cstheme="minorHAnsi"/>
        </w:rPr>
        <w:t>pe</w:t>
      </w:r>
      <w:r w:rsidRPr="002D70CA">
        <w:rPr>
          <w:rFonts w:asciiTheme="minorHAnsi" w:hAnsiTheme="minorHAnsi" w:cstheme="minorHAnsi"/>
        </w:rPr>
        <w:t>r</w:t>
      </w:r>
      <w:r w:rsidR="002D70CA">
        <w:rPr>
          <w:rFonts w:asciiTheme="minorHAnsi" w:hAnsiTheme="minorHAnsi" w:cstheme="minorHAnsi"/>
        </w:rPr>
        <w:t>sonal</w:t>
      </w:r>
      <w:r w:rsidRPr="002D70CA">
        <w:rPr>
          <w:rFonts w:asciiTheme="minorHAnsi" w:hAnsiTheme="minorHAnsi" w:cstheme="minorHAnsi"/>
        </w:rPr>
        <w:t xml:space="preserve"> use)  </w:t>
      </w:r>
    </w:p>
    <w:p w14:paraId="197339DC" w14:textId="74AEFFE3" w:rsidR="004F2259" w:rsidRPr="002D70CA" w:rsidRDefault="004F2259" w:rsidP="004F2259">
      <w:pPr>
        <w:pStyle w:val="ListParagraph"/>
        <w:numPr>
          <w:ilvl w:val="0"/>
          <w:numId w:val="4"/>
        </w:numPr>
        <w:rPr>
          <w:rFonts w:asciiTheme="minorHAnsi" w:hAnsiTheme="minorHAnsi" w:cstheme="minorHAnsi"/>
          <w:u w:val="single"/>
        </w:rPr>
      </w:pPr>
      <w:r w:rsidRPr="002D70CA">
        <w:rPr>
          <w:rFonts w:asciiTheme="minorHAnsi" w:hAnsiTheme="minorHAnsi" w:cstheme="minorHAnsi"/>
        </w:rPr>
        <w:t>Two copyright</w:t>
      </w:r>
      <w:r w:rsidR="002D70CA">
        <w:rPr>
          <w:rFonts w:asciiTheme="minorHAnsi" w:hAnsiTheme="minorHAnsi" w:cstheme="minorHAnsi"/>
        </w:rPr>
        <w:t xml:space="preserve">-related </w:t>
      </w:r>
      <w:r w:rsidRPr="002D70CA">
        <w:rPr>
          <w:rFonts w:asciiTheme="minorHAnsi" w:hAnsiTheme="minorHAnsi" w:cstheme="minorHAnsi"/>
        </w:rPr>
        <w:t>posters (</w:t>
      </w:r>
      <w:r w:rsidR="002D70CA">
        <w:rPr>
          <w:rFonts w:asciiTheme="minorHAnsi" w:hAnsiTheme="minorHAnsi" w:cstheme="minorHAnsi"/>
        </w:rPr>
        <w:t>mention</w:t>
      </w:r>
      <w:r w:rsidRPr="002D70CA">
        <w:rPr>
          <w:rFonts w:asciiTheme="minorHAnsi" w:hAnsiTheme="minorHAnsi" w:cstheme="minorHAnsi"/>
        </w:rPr>
        <w:t>ed above)</w:t>
      </w:r>
    </w:p>
    <w:p w14:paraId="56B30E71" w14:textId="4111CAC0" w:rsidR="004F2259" w:rsidRPr="002D70CA" w:rsidRDefault="00B407DC" w:rsidP="004F2259">
      <w:pPr>
        <w:pStyle w:val="ListParagraph"/>
        <w:numPr>
          <w:ilvl w:val="0"/>
          <w:numId w:val="4"/>
        </w:numPr>
        <w:rPr>
          <w:rFonts w:asciiTheme="minorHAnsi" w:hAnsiTheme="minorHAnsi" w:cstheme="minorHAnsi"/>
          <w:u w:val="single"/>
        </w:rPr>
      </w:pPr>
      <w:r>
        <w:rPr>
          <w:rFonts w:asciiTheme="minorHAnsi" w:hAnsiTheme="minorHAnsi" w:cstheme="minorHAnsi"/>
        </w:rPr>
        <w:t xml:space="preserve">Media </w:t>
      </w:r>
      <w:r w:rsidR="00F156EC">
        <w:rPr>
          <w:rFonts w:asciiTheme="minorHAnsi" w:hAnsiTheme="minorHAnsi" w:cstheme="minorHAnsi"/>
        </w:rPr>
        <w:t>for</w:t>
      </w:r>
      <w:r>
        <w:rPr>
          <w:rFonts w:asciiTheme="minorHAnsi" w:hAnsiTheme="minorHAnsi" w:cstheme="minorHAnsi"/>
        </w:rPr>
        <w:t xml:space="preserve"> </w:t>
      </w:r>
      <w:r w:rsidR="004F2259" w:rsidRPr="002D70CA">
        <w:rPr>
          <w:rFonts w:asciiTheme="minorHAnsi" w:hAnsiTheme="minorHAnsi" w:cstheme="minorHAnsi"/>
        </w:rPr>
        <w:t xml:space="preserve">www.FairDealingDecisionTool.ca </w:t>
      </w:r>
    </w:p>
    <w:p w14:paraId="156070BB" w14:textId="77777777" w:rsidR="004F2259" w:rsidRDefault="004F2259" w:rsidP="004F2259">
      <w:pPr>
        <w:ind w:left="360"/>
        <w:rPr>
          <w:sz w:val="22"/>
          <w:szCs w:val="22"/>
          <w:u w:val="single"/>
        </w:rPr>
      </w:pPr>
    </w:p>
    <w:p w14:paraId="374ED3EA" w14:textId="77777777" w:rsidR="00916A25" w:rsidRDefault="00916A25" w:rsidP="00916A25">
      <w:pPr>
        <w:ind w:left="360"/>
        <w:rPr>
          <w:sz w:val="22"/>
          <w:szCs w:val="22"/>
          <w:u w:val="single"/>
        </w:rPr>
      </w:pPr>
    </w:p>
    <w:sectPr w:rsidR="00916A25" w:rsidSect="0016419B">
      <w:headerReference w:type="firs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616E" w14:textId="77777777" w:rsidR="00344AC5" w:rsidRDefault="00344AC5" w:rsidP="0068474B">
      <w:r>
        <w:separator/>
      </w:r>
    </w:p>
  </w:endnote>
  <w:endnote w:type="continuationSeparator" w:id="0">
    <w:p w14:paraId="2A529205" w14:textId="77777777" w:rsidR="00344AC5" w:rsidRDefault="00344AC5" w:rsidP="0068474B">
      <w:r>
        <w:continuationSeparator/>
      </w:r>
    </w:p>
  </w:endnote>
  <w:endnote w:type="continuationNotice" w:id="1">
    <w:p w14:paraId="1148E2C5" w14:textId="77777777" w:rsidR="00344AC5" w:rsidRDefault="00344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90BA" w14:textId="77777777" w:rsidR="00344AC5" w:rsidRDefault="00344AC5" w:rsidP="0068474B">
      <w:r>
        <w:separator/>
      </w:r>
    </w:p>
  </w:footnote>
  <w:footnote w:type="continuationSeparator" w:id="0">
    <w:p w14:paraId="33067480" w14:textId="77777777" w:rsidR="00344AC5" w:rsidRDefault="00344AC5" w:rsidP="0068474B">
      <w:r>
        <w:continuationSeparator/>
      </w:r>
    </w:p>
  </w:footnote>
  <w:footnote w:type="continuationNotice" w:id="1">
    <w:p w14:paraId="13186005" w14:textId="77777777" w:rsidR="00344AC5" w:rsidRDefault="00344A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FD0D" w14:textId="77777777" w:rsidR="0068474B" w:rsidRPr="0068474B" w:rsidRDefault="0068474B" w:rsidP="0068474B">
    <w:pPr>
      <w:tabs>
        <w:tab w:val="center" w:pos="4320"/>
        <w:tab w:val="right" w:pos="8640"/>
      </w:tabs>
      <w:jc w:val="right"/>
      <w:rPr>
        <w:rFonts w:ascii="Calibri" w:eastAsia="Cambria" w:hAnsi="Calibri"/>
        <w:color w:val="000000"/>
        <w:lang w:eastAsia="en-US"/>
      </w:rPr>
    </w:pPr>
  </w:p>
  <w:p w14:paraId="10A0C214" w14:textId="77777777" w:rsidR="0068474B" w:rsidRPr="0068474B" w:rsidRDefault="0068474B" w:rsidP="0068474B">
    <w:pPr>
      <w:tabs>
        <w:tab w:val="center" w:pos="4320"/>
        <w:tab w:val="right" w:pos="8640"/>
      </w:tabs>
      <w:jc w:val="right"/>
      <w:rPr>
        <w:rFonts w:ascii="Calibri" w:eastAsia="Cambria" w:hAnsi="Calibri"/>
        <w:color w:val="000000"/>
        <w:lang w:eastAsia="en-US"/>
      </w:rPr>
    </w:pPr>
  </w:p>
  <w:p w14:paraId="02423164" w14:textId="77777777" w:rsidR="0068474B" w:rsidRPr="0068474B" w:rsidRDefault="0068474B" w:rsidP="0068474B">
    <w:pPr>
      <w:tabs>
        <w:tab w:val="center" w:pos="4320"/>
        <w:tab w:val="right" w:pos="8640"/>
      </w:tabs>
      <w:jc w:val="right"/>
      <w:rPr>
        <w:rFonts w:ascii="Calibri" w:eastAsia="Cambria" w:hAnsi="Calibri"/>
        <w:color w:val="000000"/>
        <w:lang w:eastAsia="en-US"/>
      </w:rPr>
    </w:pPr>
  </w:p>
  <w:p w14:paraId="406D7EAD" w14:textId="77777777" w:rsidR="0068474B" w:rsidRPr="0068474B" w:rsidRDefault="0068474B" w:rsidP="0068474B">
    <w:pPr>
      <w:tabs>
        <w:tab w:val="center" w:pos="4320"/>
        <w:tab w:val="right" w:pos="8640"/>
      </w:tabs>
      <w:rPr>
        <w:rFonts w:ascii="Calibri" w:eastAsia="Cambria" w:hAnsi="Calibri"/>
        <w:color w:val="000000"/>
        <w:lang w:eastAsia="en-US"/>
      </w:rPr>
    </w:pPr>
  </w:p>
  <w:p w14:paraId="43A19947" w14:textId="77777777" w:rsidR="0068474B" w:rsidRPr="0068474B" w:rsidRDefault="0068474B" w:rsidP="0068474B">
    <w:pPr>
      <w:tabs>
        <w:tab w:val="center" w:pos="4320"/>
        <w:tab w:val="right" w:pos="8640"/>
      </w:tabs>
      <w:rPr>
        <w:rFonts w:ascii="Calibri" w:eastAsia="Cambria" w:hAnsi="Calibri"/>
        <w:color w:val="000000"/>
        <w:lang w:eastAsia="en-US"/>
      </w:rPr>
    </w:pPr>
  </w:p>
  <w:p w14:paraId="29820EE3" w14:textId="77777777" w:rsidR="0068474B" w:rsidRPr="0068474B" w:rsidRDefault="0068474B" w:rsidP="0068474B">
    <w:pPr>
      <w:tabs>
        <w:tab w:val="center" w:pos="4320"/>
        <w:tab w:val="right" w:pos="8640"/>
      </w:tabs>
      <w:rPr>
        <w:rFonts w:ascii="Calibri" w:eastAsia="Cambria" w:hAnsi="Calibri"/>
        <w:color w:val="000000"/>
        <w:lang w:eastAsia="en-US"/>
      </w:rPr>
    </w:pPr>
  </w:p>
  <w:p w14:paraId="7D81E8FC" w14:textId="77777777" w:rsidR="0068474B" w:rsidRPr="0016419B" w:rsidRDefault="00EC2E34" w:rsidP="0016419B">
    <w:pPr>
      <w:tabs>
        <w:tab w:val="center" w:pos="4320"/>
        <w:tab w:val="right" w:pos="8640"/>
      </w:tabs>
      <w:rPr>
        <w:rFonts w:ascii="Calibri" w:hAnsi="Calibri"/>
        <w:color w:val="000000"/>
      </w:rPr>
    </w:pPr>
    <w:r w:rsidRPr="0068474B">
      <w:rPr>
        <w:rFonts w:ascii="Calibri" w:eastAsia="Cambria" w:hAnsi="Calibri"/>
        <w:noProof/>
        <w:color w:val="000000"/>
        <w:lang w:eastAsia="en-US"/>
      </w:rPr>
      <mc:AlternateContent>
        <mc:Choice Requires="wps">
          <w:drawing>
            <wp:anchor distT="0" distB="0" distL="114300" distR="114300" simplePos="0" relativeHeight="251657728" behindDoc="0" locked="0" layoutInCell="1" allowOverlap="1" wp14:anchorId="62DD8273" wp14:editId="66E2656B">
              <wp:simplePos x="0" y="0"/>
              <wp:positionH relativeFrom="column">
                <wp:posOffset>12065</wp:posOffset>
              </wp:positionH>
              <wp:positionV relativeFrom="paragraph">
                <wp:posOffset>77470</wp:posOffset>
              </wp:positionV>
              <wp:extent cx="1237615" cy="0"/>
              <wp:effectExtent l="12065" t="10795" r="7620" b="825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62B958"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1pt" to="98.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" strokeweight=".5pt">
              <v:shadow opacity="22938f" offset="0"/>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671"/>
    <w:multiLevelType w:val="hybridMultilevel"/>
    <w:tmpl w:val="858249E2"/>
    <w:lvl w:ilvl="0" w:tplc="04090001">
      <w:start w:val="1"/>
      <w:numFmt w:val="bullet"/>
      <w:lvlText w:val=""/>
      <w:lvlJc w:val="left"/>
      <w:pPr>
        <w:ind w:left="72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57A22"/>
    <w:multiLevelType w:val="hybridMultilevel"/>
    <w:tmpl w:val="594E5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023FB"/>
    <w:multiLevelType w:val="hybridMultilevel"/>
    <w:tmpl w:val="052CD45C"/>
    <w:lvl w:ilvl="0" w:tplc="020CCBE8">
      <w:start w:val="1"/>
      <w:numFmt w:val="bullet"/>
      <w:lvlText w:val=""/>
      <w:lvlJc w:val="left"/>
      <w:pPr>
        <w:ind w:left="780" w:hanging="360"/>
      </w:pPr>
      <w:rPr>
        <w:rFonts w:ascii="Symbol" w:hAnsi="Symbol" w:hint="default"/>
        <w:sz w:val="24"/>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 w15:restartNumberingAfterBreak="0">
    <w:nsid w:val="54FF70F8"/>
    <w:multiLevelType w:val="hybridMultilevel"/>
    <w:tmpl w:val="DB0266EE"/>
    <w:lvl w:ilvl="0" w:tplc="967467DE">
      <w:start w:val="1"/>
      <w:numFmt w:val="bullet"/>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071D92"/>
    <w:multiLevelType w:val="hybridMultilevel"/>
    <w:tmpl w:val="4EB286A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544713">
    <w:abstractNumId w:val="3"/>
  </w:num>
  <w:num w:numId="2" w16cid:durableId="95710654">
    <w:abstractNumId w:val="4"/>
  </w:num>
  <w:num w:numId="3" w16cid:durableId="1816487071">
    <w:abstractNumId w:val="1"/>
  </w:num>
  <w:num w:numId="4" w16cid:durableId="2131052493">
    <w:abstractNumId w:val="0"/>
  </w:num>
  <w:num w:numId="5" w16cid:durableId="273169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22"/>
    <w:rsid w:val="000160DF"/>
    <w:rsid w:val="00061953"/>
    <w:rsid w:val="00064EEC"/>
    <w:rsid w:val="00070DA4"/>
    <w:rsid w:val="00080F56"/>
    <w:rsid w:val="000907D1"/>
    <w:rsid w:val="0009780E"/>
    <w:rsid w:val="000D5AAD"/>
    <w:rsid w:val="000D7CE6"/>
    <w:rsid w:val="000F2DAC"/>
    <w:rsid w:val="000F3D59"/>
    <w:rsid w:val="0012552F"/>
    <w:rsid w:val="001262F5"/>
    <w:rsid w:val="0013021E"/>
    <w:rsid w:val="00135620"/>
    <w:rsid w:val="0014728C"/>
    <w:rsid w:val="00162BF3"/>
    <w:rsid w:val="0016419B"/>
    <w:rsid w:val="001655D3"/>
    <w:rsid w:val="001660AC"/>
    <w:rsid w:val="00170761"/>
    <w:rsid w:val="00170BBF"/>
    <w:rsid w:val="0017407F"/>
    <w:rsid w:val="00186B0C"/>
    <w:rsid w:val="00186D89"/>
    <w:rsid w:val="00196A50"/>
    <w:rsid w:val="00197EAB"/>
    <w:rsid w:val="001B46B2"/>
    <w:rsid w:val="001B4A45"/>
    <w:rsid w:val="001C7424"/>
    <w:rsid w:val="001D6F15"/>
    <w:rsid w:val="001D72EE"/>
    <w:rsid w:val="001E1048"/>
    <w:rsid w:val="001E21B9"/>
    <w:rsid w:val="001E394F"/>
    <w:rsid w:val="00202786"/>
    <w:rsid w:val="00230C7E"/>
    <w:rsid w:val="00232ABA"/>
    <w:rsid w:val="002466E6"/>
    <w:rsid w:val="002A3656"/>
    <w:rsid w:val="002A541A"/>
    <w:rsid w:val="002A5ADD"/>
    <w:rsid w:val="002D056E"/>
    <w:rsid w:val="002D70CA"/>
    <w:rsid w:val="002E6D4C"/>
    <w:rsid w:val="0031274E"/>
    <w:rsid w:val="0031607E"/>
    <w:rsid w:val="00344AC5"/>
    <w:rsid w:val="00350EB8"/>
    <w:rsid w:val="00353DAB"/>
    <w:rsid w:val="003878FC"/>
    <w:rsid w:val="003902D6"/>
    <w:rsid w:val="003B0504"/>
    <w:rsid w:val="003B4548"/>
    <w:rsid w:val="003B4648"/>
    <w:rsid w:val="003D2F93"/>
    <w:rsid w:val="003D331D"/>
    <w:rsid w:val="003D3A97"/>
    <w:rsid w:val="003E1D1E"/>
    <w:rsid w:val="003F11BD"/>
    <w:rsid w:val="004032EC"/>
    <w:rsid w:val="00416F01"/>
    <w:rsid w:val="00426057"/>
    <w:rsid w:val="004304A6"/>
    <w:rsid w:val="00431DB4"/>
    <w:rsid w:val="00441F0C"/>
    <w:rsid w:val="00452FC3"/>
    <w:rsid w:val="00453A7C"/>
    <w:rsid w:val="00492087"/>
    <w:rsid w:val="004A6C96"/>
    <w:rsid w:val="004B1702"/>
    <w:rsid w:val="004B2E28"/>
    <w:rsid w:val="004B659F"/>
    <w:rsid w:val="004C08D4"/>
    <w:rsid w:val="004F2259"/>
    <w:rsid w:val="004F6230"/>
    <w:rsid w:val="00513ED5"/>
    <w:rsid w:val="00520795"/>
    <w:rsid w:val="00531C93"/>
    <w:rsid w:val="00532C4B"/>
    <w:rsid w:val="00536422"/>
    <w:rsid w:val="00542B7E"/>
    <w:rsid w:val="00550482"/>
    <w:rsid w:val="00553F29"/>
    <w:rsid w:val="0055575A"/>
    <w:rsid w:val="0056663A"/>
    <w:rsid w:val="00571B1C"/>
    <w:rsid w:val="00572B00"/>
    <w:rsid w:val="0057541D"/>
    <w:rsid w:val="005A4AA5"/>
    <w:rsid w:val="005B26BB"/>
    <w:rsid w:val="005C2135"/>
    <w:rsid w:val="00606558"/>
    <w:rsid w:val="0061470E"/>
    <w:rsid w:val="006244C2"/>
    <w:rsid w:val="0065269E"/>
    <w:rsid w:val="00662ED3"/>
    <w:rsid w:val="006656BB"/>
    <w:rsid w:val="0068474B"/>
    <w:rsid w:val="0069237B"/>
    <w:rsid w:val="00694B45"/>
    <w:rsid w:val="006B2C24"/>
    <w:rsid w:val="006C6952"/>
    <w:rsid w:val="006C7090"/>
    <w:rsid w:val="007066C0"/>
    <w:rsid w:val="00711CFF"/>
    <w:rsid w:val="00722DDF"/>
    <w:rsid w:val="00723885"/>
    <w:rsid w:val="007239FD"/>
    <w:rsid w:val="00727DCF"/>
    <w:rsid w:val="0073223F"/>
    <w:rsid w:val="00744930"/>
    <w:rsid w:val="00753B44"/>
    <w:rsid w:val="00764969"/>
    <w:rsid w:val="007726B4"/>
    <w:rsid w:val="00791E8B"/>
    <w:rsid w:val="007946D1"/>
    <w:rsid w:val="007E0F73"/>
    <w:rsid w:val="007E684F"/>
    <w:rsid w:val="008027E3"/>
    <w:rsid w:val="008158A0"/>
    <w:rsid w:val="00816CC7"/>
    <w:rsid w:val="008541F7"/>
    <w:rsid w:val="00861D9B"/>
    <w:rsid w:val="00865A32"/>
    <w:rsid w:val="008720AF"/>
    <w:rsid w:val="008A1F89"/>
    <w:rsid w:val="008B6D3B"/>
    <w:rsid w:val="008C04B5"/>
    <w:rsid w:val="008D215A"/>
    <w:rsid w:val="008E7251"/>
    <w:rsid w:val="008F24C0"/>
    <w:rsid w:val="008F359F"/>
    <w:rsid w:val="0090073A"/>
    <w:rsid w:val="00902D14"/>
    <w:rsid w:val="0090620C"/>
    <w:rsid w:val="009072A0"/>
    <w:rsid w:val="00907D3C"/>
    <w:rsid w:val="00916A25"/>
    <w:rsid w:val="009219DE"/>
    <w:rsid w:val="009A0E77"/>
    <w:rsid w:val="009B63AE"/>
    <w:rsid w:val="009C70E4"/>
    <w:rsid w:val="009D1BD2"/>
    <w:rsid w:val="009E46C3"/>
    <w:rsid w:val="009F468D"/>
    <w:rsid w:val="00A12B6D"/>
    <w:rsid w:val="00A16B21"/>
    <w:rsid w:val="00A17A33"/>
    <w:rsid w:val="00A25187"/>
    <w:rsid w:val="00A47A42"/>
    <w:rsid w:val="00A50774"/>
    <w:rsid w:val="00A50F76"/>
    <w:rsid w:val="00A61B32"/>
    <w:rsid w:val="00A77F30"/>
    <w:rsid w:val="00A81AE4"/>
    <w:rsid w:val="00A909A4"/>
    <w:rsid w:val="00A94265"/>
    <w:rsid w:val="00AA6DE6"/>
    <w:rsid w:val="00AB52A8"/>
    <w:rsid w:val="00AC5605"/>
    <w:rsid w:val="00AF27CF"/>
    <w:rsid w:val="00AF3AEC"/>
    <w:rsid w:val="00B1200E"/>
    <w:rsid w:val="00B1691C"/>
    <w:rsid w:val="00B276CC"/>
    <w:rsid w:val="00B34A0E"/>
    <w:rsid w:val="00B407DC"/>
    <w:rsid w:val="00B73D62"/>
    <w:rsid w:val="00B7478D"/>
    <w:rsid w:val="00B849B2"/>
    <w:rsid w:val="00B93C84"/>
    <w:rsid w:val="00BA3E2B"/>
    <w:rsid w:val="00BB3B4F"/>
    <w:rsid w:val="00BB7EE6"/>
    <w:rsid w:val="00BC0256"/>
    <w:rsid w:val="00BC5722"/>
    <w:rsid w:val="00BD4501"/>
    <w:rsid w:val="00BE53A5"/>
    <w:rsid w:val="00BF37B3"/>
    <w:rsid w:val="00BF6C35"/>
    <w:rsid w:val="00C05516"/>
    <w:rsid w:val="00C16351"/>
    <w:rsid w:val="00C20E65"/>
    <w:rsid w:val="00C22E80"/>
    <w:rsid w:val="00C2495D"/>
    <w:rsid w:val="00C603C6"/>
    <w:rsid w:val="00C844C3"/>
    <w:rsid w:val="00C947DB"/>
    <w:rsid w:val="00CA76EE"/>
    <w:rsid w:val="00CD0259"/>
    <w:rsid w:val="00CD29D0"/>
    <w:rsid w:val="00CE5766"/>
    <w:rsid w:val="00CF0932"/>
    <w:rsid w:val="00D15470"/>
    <w:rsid w:val="00D21BB5"/>
    <w:rsid w:val="00D246F0"/>
    <w:rsid w:val="00D34B27"/>
    <w:rsid w:val="00D44C37"/>
    <w:rsid w:val="00D51B47"/>
    <w:rsid w:val="00D62B3A"/>
    <w:rsid w:val="00D808AA"/>
    <w:rsid w:val="00D82BBF"/>
    <w:rsid w:val="00D903C6"/>
    <w:rsid w:val="00D9445D"/>
    <w:rsid w:val="00DA3DB4"/>
    <w:rsid w:val="00DA633F"/>
    <w:rsid w:val="00DB0A48"/>
    <w:rsid w:val="00DB42EF"/>
    <w:rsid w:val="00DB50BD"/>
    <w:rsid w:val="00DC78B8"/>
    <w:rsid w:val="00DD777B"/>
    <w:rsid w:val="00DF5E1B"/>
    <w:rsid w:val="00E03747"/>
    <w:rsid w:val="00E11E40"/>
    <w:rsid w:val="00E14617"/>
    <w:rsid w:val="00E16EB6"/>
    <w:rsid w:val="00E20E1D"/>
    <w:rsid w:val="00E21B20"/>
    <w:rsid w:val="00E278C4"/>
    <w:rsid w:val="00E4249D"/>
    <w:rsid w:val="00E47580"/>
    <w:rsid w:val="00E50DA6"/>
    <w:rsid w:val="00E70F5F"/>
    <w:rsid w:val="00E80968"/>
    <w:rsid w:val="00E83C12"/>
    <w:rsid w:val="00E84337"/>
    <w:rsid w:val="00E84E52"/>
    <w:rsid w:val="00EA6026"/>
    <w:rsid w:val="00EB261E"/>
    <w:rsid w:val="00EC2E34"/>
    <w:rsid w:val="00EC7357"/>
    <w:rsid w:val="00ED28EF"/>
    <w:rsid w:val="00ED582B"/>
    <w:rsid w:val="00EE7E0C"/>
    <w:rsid w:val="00F05D4F"/>
    <w:rsid w:val="00F14E63"/>
    <w:rsid w:val="00F156EC"/>
    <w:rsid w:val="00F226D0"/>
    <w:rsid w:val="00F33C9D"/>
    <w:rsid w:val="00F3432B"/>
    <w:rsid w:val="00F47FF4"/>
    <w:rsid w:val="00FC6429"/>
    <w:rsid w:val="00FC6CFF"/>
    <w:rsid w:val="00FD79A3"/>
    <w:rsid w:val="00FE302D"/>
    <w:rsid w:val="00FE3318"/>
    <w:rsid w:val="00FF4B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9141D"/>
  <w15:docId w15:val="{42BF4644-48D7-4360-8FB3-2F28705D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A4AA5"/>
    <w:rPr>
      <w:color w:val="0000FF"/>
      <w:u w:val="single"/>
    </w:rPr>
  </w:style>
  <w:style w:type="paragraph" w:styleId="NormalWeb">
    <w:name w:val="Normal (Web)"/>
    <w:basedOn w:val="Normal"/>
    <w:unhideWhenUsed/>
    <w:rsid w:val="0016419B"/>
    <w:pPr>
      <w:spacing w:before="100" w:beforeAutospacing="1" w:after="100" w:afterAutospacing="1"/>
    </w:pPr>
    <w:rPr>
      <w:rFonts w:eastAsia="Times New Roman"/>
      <w:lang w:eastAsia="en-US"/>
    </w:rPr>
  </w:style>
  <w:style w:type="character" w:styleId="Strong">
    <w:name w:val="Strong"/>
    <w:uiPriority w:val="22"/>
    <w:qFormat/>
    <w:rsid w:val="003902D6"/>
    <w:rPr>
      <w:b/>
      <w:bCs/>
    </w:rPr>
  </w:style>
  <w:style w:type="character" w:customStyle="1" w:styleId="position">
    <w:name w:val="position"/>
    <w:rsid w:val="0017407F"/>
  </w:style>
  <w:style w:type="character" w:customStyle="1" w:styleId="name">
    <w:name w:val="name"/>
    <w:rsid w:val="0017407F"/>
  </w:style>
  <w:style w:type="paragraph" w:styleId="Header">
    <w:name w:val="header"/>
    <w:basedOn w:val="Normal"/>
    <w:link w:val="HeaderChar"/>
    <w:rsid w:val="0068474B"/>
    <w:pPr>
      <w:tabs>
        <w:tab w:val="center" w:pos="4680"/>
        <w:tab w:val="right" w:pos="9360"/>
      </w:tabs>
    </w:pPr>
  </w:style>
  <w:style w:type="character" w:customStyle="1" w:styleId="HeaderChar">
    <w:name w:val="Header Char"/>
    <w:link w:val="Header"/>
    <w:rsid w:val="0068474B"/>
    <w:rPr>
      <w:sz w:val="24"/>
      <w:szCs w:val="24"/>
      <w:lang w:val="en-US" w:eastAsia="ja-JP"/>
    </w:rPr>
  </w:style>
  <w:style w:type="paragraph" w:styleId="Footer">
    <w:name w:val="footer"/>
    <w:basedOn w:val="Normal"/>
    <w:link w:val="FooterChar"/>
    <w:uiPriority w:val="99"/>
    <w:rsid w:val="0068474B"/>
    <w:pPr>
      <w:tabs>
        <w:tab w:val="center" w:pos="4680"/>
        <w:tab w:val="right" w:pos="9360"/>
      </w:tabs>
    </w:pPr>
  </w:style>
  <w:style w:type="character" w:customStyle="1" w:styleId="FooterChar">
    <w:name w:val="Footer Char"/>
    <w:link w:val="Footer"/>
    <w:uiPriority w:val="99"/>
    <w:rsid w:val="0068474B"/>
    <w:rPr>
      <w:sz w:val="24"/>
      <w:szCs w:val="24"/>
      <w:lang w:val="en-US" w:eastAsia="ja-JP"/>
    </w:rPr>
  </w:style>
  <w:style w:type="paragraph" w:styleId="BalloonText">
    <w:name w:val="Balloon Text"/>
    <w:basedOn w:val="Normal"/>
    <w:link w:val="BalloonTextChar"/>
    <w:rsid w:val="000D7CE6"/>
    <w:rPr>
      <w:rFonts w:ascii="Tahoma" w:hAnsi="Tahoma" w:cs="Tahoma"/>
      <w:sz w:val="16"/>
      <w:szCs w:val="16"/>
    </w:rPr>
  </w:style>
  <w:style w:type="character" w:customStyle="1" w:styleId="BalloonTextChar">
    <w:name w:val="Balloon Text Char"/>
    <w:link w:val="BalloonText"/>
    <w:rsid w:val="000D7CE6"/>
    <w:rPr>
      <w:rFonts w:ascii="Tahoma" w:hAnsi="Tahoma" w:cs="Tahoma"/>
      <w:sz w:val="16"/>
      <w:szCs w:val="16"/>
      <w:lang w:val="en-US" w:eastAsia="ja-JP"/>
    </w:rPr>
  </w:style>
  <w:style w:type="character" w:styleId="CommentReference">
    <w:name w:val="annotation reference"/>
    <w:rsid w:val="00BF6C35"/>
    <w:rPr>
      <w:sz w:val="16"/>
      <w:szCs w:val="16"/>
    </w:rPr>
  </w:style>
  <w:style w:type="paragraph" w:styleId="CommentText">
    <w:name w:val="annotation text"/>
    <w:basedOn w:val="Normal"/>
    <w:link w:val="CommentTextChar"/>
    <w:rsid w:val="00BF6C35"/>
    <w:rPr>
      <w:sz w:val="20"/>
      <w:szCs w:val="20"/>
    </w:rPr>
  </w:style>
  <w:style w:type="character" w:customStyle="1" w:styleId="CommentTextChar">
    <w:name w:val="Comment Text Char"/>
    <w:link w:val="CommentText"/>
    <w:rsid w:val="00BF6C35"/>
    <w:rPr>
      <w:lang w:val="en-US" w:eastAsia="ja-JP"/>
    </w:rPr>
  </w:style>
  <w:style w:type="paragraph" w:styleId="CommentSubject">
    <w:name w:val="annotation subject"/>
    <w:basedOn w:val="CommentText"/>
    <w:next w:val="CommentText"/>
    <w:link w:val="CommentSubjectChar"/>
    <w:rsid w:val="00BF6C35"/>
    <w:rPr>
      <w:b/>
      <w:bCs/>
    </w:rPr>
  </w:style>
  <w:style w:type="character" w:customStyle="1" w:styleId="CommentSubjectChar">
    <w:name w:val="Comment Subject Char"/>
    <w:link w:val="CommentSubject"/>
    <w:rsid w:val="00BF6C35"/>
    <w:rPr>
      <w:b/>
      <w:bCs/>
      <w:lang w:val="en-US" w:eastAsia="ja-JP"/>
    </w:rPr>
  </w:style>
  <w:style w:type="paragraph" w:styleId="Revision">
    <w:name w:val="Revision"/>
    <w:hidden/>
    <w:uiPriority w:val="99"/>
    <w:semiHidden/>
    <w:rsid w:val="00BF6C35"/>
    <w:rPr>
      <w:sz w:val="24"/>
      <w:szCs w:val="24"/>
      <w:lang w:eastAsia="ja-JP"/>
    </w:rPr>
  </w:style>
  <w:style w:type="character" w:styleId="FollowedHyperlink">
    <w:name w:val="FollowedHyperlink"/>
    <w:basedOn w:val="DefaultParagraphFont"/>
    <w:rsid w:val="001E394F"/>
    <w:rPr>
      <w:color w:val="954F72" w:themeColor="followedHyperlink"/>
      <w:u w:val="single"/>
    </w:rPr>
  </w:style>
  <w:style w:type="paragraph" w:styleId="ListParagraph">
    <w:name w:val="List Paragraph"/>
    <w:basedOn w:val="Normal"/>
    <w:uiPriority w:val="34"/>
    <w:qFormat/>
    <w:rsid w:val="00916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47590">
      <w:bodyDiv w:val="1"/>
      <w:marLeft w:val="0"/>
      <w:marRight w:val="0"/>
      <w:marTop w:val="0"/>
      <w:marBottom w:val="0"/>
      <w:divBdr>
        <w:top w:val="none" w:sz="0" w:space="0" w:color="auto"/>
        <w:left w:val="none" w:sz="0" w:space="0" w:color="auto"/>
        <w:bottom w:val="none" w:sz="0" w:space="0" w:color="auto"/>
        <w:right w:val="none" w:sz="0" w:space="0" w:color="auto"/>
      </w:divBdr>
    </w:div>
    <w:div w:id="1138035258">
      <w:bodyDiv w:val="1"/>
      <w:marLeft w:val="0"/>
      <w:marRight w:val="0"/>
      <w:marTop w:val="0"/>
      <w:marBottom w:val="0"/>
      <w:divBdr>
        <w:top w:val="none" w:sz="0" w:space="0" w:color="auto"/>
        <w:left w:val="none" w:sz="0" w:space="0" w:color="auto"/>
        <w:bottom w:val="none" w:sz="0" w:space="0" w:color="auto"/>
        <w:right w:val="none" w:sz="0" w:space="0" w:color="auto"/>
      </w:divBdr>
      <w:divsChild>
        <w:div w:id="1501853586">
          <w:marLeft w:val="0"/>
          <w:marRight w:val="0"/>
          <w:marTop w:val="0"/>
          <w:marBottom w:val="0"/>
          <w:divBdr>
            <w:top w:val="none" w:sz="0" w:space="0" w:color="auto"/>
            <w:left w:val="none" w:sz="0" w:space="0" w:color="auto"/>
            <w:bottom w:val="none" w:sz="0" w:space="0" w:color="auto"/>
            <w:right w:val="none" w:sz="0" w:space="0" w:color="auto"/>
          </w:divBdr>
        </w:div>
      </w:divsChild>
    </w:div>
    <w:div w:id="1741054730">
      <w:bodyDiv w:val="1"/>
      <w:marLeft w:val="0"/>
      <w:marRight w:val="0"/>
      <w:marTop w:val="0"/>
      <w:marBottom w:val="0"/>
      <w:divBdr>
        <w:top w:val="none" w:sz="0" w:space="0" w:color="auto"/>
        <w:left w:val="none" w:sz="0" w:space="0" w:color="auto"/>
        <w:bottom w:val="none" w:sz="0" w:space="0" w:color="auto"/>
        <w:right w:val="none" w:sz="0" w:space="0" w:color="auto"/>
      </w:divBdr>
      <w:divsChild>
        <w:div w:id="514924939">
          <w:marLeft w:val="0"/>
          <w:marRight w:val="0"/>
          <w:marTop w:val="0"/>
          <w:marBottom w:val="0"/>
          <w:divBdr>
            <w:top w:val="none" w:sz="0" w:space="0" w:color="auto"/>
            <w:left w:val="none" w:sz="0" w:space="0" w:color="auto"/>
            <w:bottom w:val="none" w:sz="0" w:space="0" w:color="auto"/>
            <w:right w:val="none" w:sz="0" w:space="0" w:color="auto"/>
          </w:divBdr>
        </w:div>
      </w:divsChild>
    </w:div>
    <w:div w:id="1746954467">
      <w:bodyDiv w:val="1"/>
      <w:marLeft w:val="0"/>
      <w:marRight w:val="0"/>
      <w:marTop w:val="0"/>
      <w:marBottom w:val="0"/>
      <w:divBdr>
        <w:top w:val="none" w:sz="0" w:space="0" w:color="auto"/>
        <w:left w:val="none" w:sz="0" w:space="0" w:color="auto"/>
        <w:bottom w:val="none" w:sz="0" w:space="0" w:color="auto"/>
        <w:right w:val="none" w:sz="0" w:space="0" w:color="auto"/>
      </w:divBdr>
      <w:divsChild>
        <w:div w:id="295332583">
          <w:marLeft w:val="0"/>
          <w:marRight w:val="0"/>
          <w:marTop w:val="0"/>
          <w:marBottom w:val="0"/>
          <w:divBdr>
            <w:top w:val="none" w:sz="0" w:space="0" w:color="auto"/>
            <w:left w:val="none" w:sz="0" w:space="0" w:color="auto"/>
            <w:bottom w:val="none" w:sz="0" w:space="0" w:color="auto"/>
            <w:right w:val="none" w:sz="0" w:space="0" w:color="auto"/>
          </w:divBdr>
        </w:div>
        <w:div w:id="111506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dealingdecisiontool.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C9FB-6DF7-4A02-BD41-C3AA94B1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Chair – Education Coalition partners</vt:lpstr>
    </vt:vector>
  </TitlesOfParts>
  <Company>CG&amp;A Communications</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 – Education Coalition partners</dc:title>
  <dc:creator>HP Authorized Customer</dc:creator>
  <cp:lastModifiedBy>Ken Bain</cp:lastModifiedBy>
  <cp:revision>2</cp:revision>
  <cp:lastPrinted>2016-08-24T13:14:00Z</cp:lastPrinted>
  <dcterms:created xsi:type="dcterms:W3CDTF">2023-08-31T19:49:00Z</dcterms:created>
  <dcterms:modified xsi:type="dcterms:W3CDTF">2023-08-31T19:49:00Z</dcterms:modified>
</cp:coreProperties>
</file>